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6F" w:rsidRPr="0080295A" w:rsidRDefault="0080295A" w:rsidP="005222AF">
      <w:pPr>
        <w:pStyle w:val="Title"/>
        <w:rPr>
          <w:rFonts w:ascii="Times New Roman" w:hAnsi="Times New Roman" w:cs="Times New Roman"/>
        </w:rPr>
      </w:pPr>
      <w:r>
        <w:rPr>
          <w:rFonts w:ascii="Times New Roman" w:hAnsi="Times New Roman" w:cs="Times New Roman"/>
        </w:rPr>
        <w:t>IPA Co</w:t>
      </w:r>
      <w:r w:rsidR="00214AF4">
        <w:rPr>
          <w:rFonts w:ascii="Times New Roman" w:hAnsi="Times New Roman" w:cs="Times New Roman"/>
        </w:rPr>
        <w:t>-</w:t>
      </w:r>
      <w:r>
        <w:rPr>
          <w:rFonts w:ascii="Times New Roman" w:hAnsi="Times New Roman" w:cs="Times New Roman"/>
        </w:rPr>
        <w:t>hosts Education S</w:t>
      </w:r>
      <w:r w:rsidR="005222AF" w:rsidRPr="0080295A">
        <w:rPr>
          <w:rFonts w:ascii="Times New Roman" w:hAnsi="Times New Roman" w:cs="Times New Roman"/>
        </w:rPr>
        <w:t>ession at the 68</w:t>
      </w:r>
      <w:r w:rsidR="005222AF" w:rsidRPr="0080295A">
        <w:rPr>
          <w:rFonts w:ascii="Times New Roman" w:hAnsi="Times New Roman" w:cs="Times New Roman"/>
          <w:vertAlign w:val="superscript"/>
        </w:rPr>
        <w:t>th</w:t>
      </w:r>
      <w:r w:rsidR="005222AF" w:rsidRPr="0080295A">
        <w:rPr>
          <w:rFonts w:ascii="Times New Roman" w:hAnsi="Times New Roman" w:cs="Times New Roman"/>
        </w:rPr>
        <w:t xml:space="preserve"> World Health Assembly</w:t>
      </w:r>
    </w:p>
    <w:p w:rsidR="0035016F" w:rsidRPr="0080295A" w:rsidRDefault="0035016F" w:rsidP="0035016F">
      <w:pPr>
        <w:rPr>
          <w:rFonts w:ascii="Times New Roman" w:hAnsi="Times New Roman" w:cs="Times New Roman"/>
          <w:sz w:val="28"/>
          <w:szCs w:val="28"/>
        </w:rPr>
      </w:pPr>
      <w:r w:rsidRPr="0080295A">
        <w:rPr>
          <w:rFonts w:ascii="Times New Roman" w:hAnsi="Times New Roman" w:cs="Times New Roman"/>
        </w:rPr>
        <w:t xml:space="preserve">     </w:t>
      </w:r>
      <w:r w:rsidRPr="0080295A">
        <w:rPr>
          <w:rFonts w:ascii="Times New Roman" w:hAnsi="Times New Roman" w:cs="Times New Roman"/>
          <w:sz w:val="28"/>
          <w:szCs w:val="28"/>
        </w:rPr>
        <w:t>IPA representative</w:t>
      </w:r>
      <w:r w:rsidR="005222AF" w:rsidRPr="0080295A">
        <w:rPr>
          <w:rFonts w:ascii="Times New Roman" w:hAnsi="Times New Roman" w:cs="Times New Roman"/>
          <w:sz w:val="28"/>
          <w:szCs w:val="28"/>
        </w:rPr>
        <w:t>s</w:t>
      </w:r>
      <w:r w:rsidRPr="0080295A">
        <w:rPr>
          <w:rFonts w:ascii="Times New Roman" w:hAnsi="Times New Roman" w:cs="Times New Roman"/>
          <w:sz w:val="28"/>
          <w:szCs w:val="28"/>
        </w:rPr>
        <w:t xml:space="preserve"> were active contributors lending pediatric perspectives to the deliberations of t</w:t>
      </w:r>
      <w:r w:rsidR="00CE209D" w:rsidRPr="0080295A">
        <w:rPr>
          <w:rFonts w:ascii="Times New Roman" w:hAnsi="Times New Roman" w:cs="Times New Roman"/>
          <w:sz w:val="28"/>
          <w:szCs w:val="28"/>
        </w:rPr>
        <w:t xml:space="preserve">he national delegates, Geneva, </w:t>
      </w:r>
      <w:r w:rsidRPr="0080295A">
        <w:rPr>
          <w:rFonts w:ascii="Times New Roman" w:hAnsi="Times New Roman" w:cs="Times New Roman"/>
          <w:sz w:val="28"/>
          <w:szCs w:val="28"/>
        </w:rPr>
        <w:t>May 16-24, 2015. The WHA</w:t>
      </w:r>
      <w:r w:rsidR="003666CF" w:rsidRPr="0080295A">
        <w:rPr>
          <w:rFonts w:ascii="Times New Roman" w:hAnsi="Times New Roman" w:cs="Times New Roman"/>
          <w:sz w:val="28"/>
          <w:szCs w:val="28"/>
        </w:rPr>
        <w:t xml:space="preserve"> </w:t>
      </w:r>
      <w:r w:rsidRPr="0080295A">
        <w:rPr>
          <w:rFonts w:ascii="Times New Roman" w:hAnsi="Times New Roman" w:cs="Times New Roman"/>
          <w:sz w:val="28"/>
          <w:szCs w:val="28"/>
        </w:rPr>
        <w:t xml:space="preserve">is the governing body of the </w:t>
      </w:r>
      <w:r w:rsidR="00341E12" w:rsidRPr="0080295A">
        <w:rPr>
          <w:rFonts w:ascii="Times New Roman" w:hAnsi="Times New Roman" w:cs="Times New Roman"/>
          <w:sz w:val="28"/>
          <w:szCs w:val="28"/>
        </w:rPr>
        <w:t xml:space="preserve">World Health Organization </w:t>
      </w:r>
      <w:r w:rsidR="003666CF" w:rsidRPr="0080295A">
        <w:rPr>
          <w:rFonts w:ascii="Times New Roman" w:hAnsi="Times New Roman" w:cs="Times New Roman"/>
          <w:sz w:val="28"/>
          <w:szCs w:val="28"/>
        </w:rPr>
        <w:t xml:space="preserve">and </w:t>
      </w:r>
      <w:r w:rsidR="00341E12" w:rsidRPr="0080295A">
        <w:rPr>
          <w:rFonts w:ascii="Times New Roman" w:hAnsi="Times New Roman" w:cs="Times New Roman"/>
          <w:sz w:val="28"/>
          <w:szCs w:val="28"/>
        </w:rPr>
        <w:t>m</w:t>
      </w:r>
      <w:r w:rsidRPr="0080295A">
        <w:rPr>
          <w:rFonts w:ascii="Times New Roman" w:hAnsi="Times New Roman" w:cs="Times New Roman"/>
          <w:sz w:val="28"/>
          <w:szCs w:val="28"/>
        </w:rPr>
        <w:t>eets every May to consider WHO governance and policy issues.</w:t>
      </w:r>
    </w:p>
    <w:p w:rsidR="0035016F" w:rsidRPr="0080295A" w:rsidRDefault="0035016F" w:rsidP="0035016F">
      <w:pPr>
        <w:rPr>
          <w:rFonts w:ascii="Times New Roman" w:hAnsi="Times New Roman" w:cs="Times New Roman"/>
          <w:sz w:val="28"/>
          <w:szCs w:val="28"/>
        </w:rPr>
      </w:pPr>
      <w:r w:rsidRPr="0080295A">
        <w:rPr>
          <w:rFonts w:ascii="Times New Roman" w:hAnsi="Times New Roman" w:cs="Times New Roman"/>
          <w:sz w:val="28"/>
          <w:szCs w:val="28"/>
        </w:rPr>
        <w:t xml:space="preserve">      The IPA cosponsored an educational event directed by NCD Child. Non communicable diseases (NCDs) are a major focus of the post 2</w:t>
      </w:r>
      <w:r w:rsidR="003666CF" w:rsidRPr="0080295A">
        <w:rPr>
          <w:rFonts w:ascii="Times New Roman" w:hAnsi="Times New Roman" w:cs="Times New Roman"/>
          <w:sz w:val="28"/>
          <w:szCs w:val="28"/>
        </w:rPr>
        <w:t xml:space="preserve">015 </w:t>
      </w:r>
      <w:r w:rsidRPr="0080295A">
        <w:rPr>
          <w:rFonts w:ascii="Times New Roman" w:hAnsi="Times New Roman" w:cs="Times New Roman"/>
          <w:sz w:val="28"/>
          <w:szCs w:val="28"/>
        </w:rPr>
        <w:t>world health agenda.</w:t>
      </w:r>
      <w:r w:rsidR="00341E12" w:rsidRPr="0080295A">
        <w:rPr>
          <w:rFonts w:ascii="Times New Roman" w:hAnsi="Times New Roman" w:cs="Times New Roman"/>
          <w:sz w:val="28"/>
          <w:szCs w:val="28"/>
        </w:rPr>
        <w:t xml:space="preserve"> This</w:t>
      </w:r>
      <w:r w:rsidR="003666CF" w:rsidRPr="0080295A">
        <w:rPr>
          <w:rFonts w:ascii="Times New Roman" w:hAnsi="Times New Roman" w:cs="Times New Roman"/>
          <w:sz w:val="28"/>
          <w:szCs w:val="28"/>
        </w:rPr>
        <w:t xml:space="preserve"> event brought the major</w:t>
      </w:r>
      <w:r w:rsidR="000D2491" w:rsidRPr="0080295A">
        <w:rPr>
          <w:rFonts w:ascii="Times New Roman" w:hAnsi="Times New Roman" w:cs="Times New Roman"/>
          <w:sz w:val="28"/>
          <w:szCs w:val="28"/>
        </w:rPr>
        <w:t xml:space="preserve"> global organizations together to discuss how</w:t>
      </w:r>
      <w:r w:rsidR="00341E12" w:rsidRPr="0080295A">
        <w:rPr>
          <w:rFonts w:ascii="Times New Roman" w:hAnsi="Times New Roman" w:cs="Times New Roman"/>
          <w:sz w:val="28"/>
          <w:szCs w:val="28"/>
        </w:rPr>
        <w:t xml:space="preserve"> to best meet the</w:t>
      </w:r>
      <w:r w:rsidR="000D2491" w:rsidRPr="0080295A">
        <w:rPr>
          <w:rFonts w:ascii="Times New Roman" w:hAnsi="Times New Roman" w:cs="Times New Roman"/>
          <w:sz w:val="28"/>
          <w:szCs w:val="28"/>
        </w:rPr>
        <w:t xml:space="preserve"> needs</w:t>
      </w:r>
      <w:r w:rsidR="00341E12" w:rsidRPr="0080295A">
        <w:rPr>
          <w:rFonts w:ascii="Times New Roman" w:hAnsi="Times New Roman" w:cs="Times New Roman"/>
          <w:sz w:val="28"/>
          <w:szCs w:val="28"/>
        </w:rPr>
        <w:t xml:space="preserve"> of children</w:t>
      </w:r>
      <w:r w:rsidR="003666CF" w:rsidRPr="0080295A">
        <w:rPr>
          <w:rFonts w:ascii="Times New Roman" w:hAnsi="Times New Roman" w:cs="Times New Roman"/>
          <w:sz w:val="28"/>
          <w:szCs w:val="28"/>
        </w:rPr>
        <w:t xml:space="preserve"> regarding NCDs.  NCD work </w:t>
      </w:r>
      <w:r w:rsidR="000D2491" w:rsidRPr="0080295A">
        <w:rPr>
          <w:rFonts w:ascii="Times New Roman" w:hAnsi="Times New Roman" w:cs="Times New Roman"/>
          <w:sz w:val="28"/>
          <w:szCs w:val="28"/>
        </w:rPr>
        <w:t>will have a great deal of the world’</w:t>
      </w:r>
      <w:r w:rsidR="003666CF" w:rsidRPr="0080295A">
        <w:rPr>
          <w:rFonts w:ascii="Times New Roman" w:hAnsi="Times New Roman" w:cs="Times New Roman"/>
          <w:sz w:val="28"/>
          <w:szCs w:val="28"/>
        </w:rPr>
        <w:t xml:space="preserve">s </w:t>
      </w:r>
      <w:r w:rsidR="000D2491" w:rsidRPr="0080295A">
        <w:rPr>
          <w:rFonts w:ascii="Times New Roman" w:hAnsi="Times New Roman" w:cs="Times New Roman"/>
          <w:sz w:val="28"/>
          <w:szCs w:val="28"/>
        </w:rPr>
        <w:t>policy and financial support in the coming years.</w:t>
      </w:r>
      <w:r w:rsidR="003666CF" w:rsidRPr="0080295A">
        <w:rPr>
          <w:rFonts w:ascii="Times New Roman" w:hAnsi="Times New Roman" w:cs="Times New Roman"/>
          <w:sz w:val="28"/>
          <w:szCs w:val="28"/>
        </w:rPr>
        <w:t xml:space="preserve"> Participants discussed how to bring the world’s attention to the unique cost effective prevention and treatment opportunities within the Maternal, Neonatal, Child and Adolescent framework.</w:t>
      </w:r>
      <w:r w:rsidR="005222AF" w:rsidRPr="0080295A">
        <w:rPr>
          <w:rFonts w:ascii="Times New Roman" w:hAnsi="Times New Roman" w:cs="Times New Roman"/>
          <w:sz w:val="28"/>
          <w:szCs w:val="28"/>
        </w:rPr>
        <w:t xml:space="preserve"> Although little attention has been given at WHO and UN levels to children in relationship to NCDs e</w:t>
      </w:r>
      <w:r w:rsidR="007471B2" w:rsidRPr="0080295A">
        <w:rPr>
          <w:rFonts w:ascii="Times New Roman" w:hAnsi="Times New Roman" w:cs="Times New Roman"/>
          <w:sz w:val="28"/>
          <w:szCs w:val="28"/>
        </w:rPr>
        <w:t>xpectations of transparency and equity are likely to give children’s needs a higher priority in future NCD planning.</w:t>
      </w:r>
    </w:p>
    <w:p w:rsidR="005222AF" w:rsidRPr="0080295A" w:rsidRDefault="005222AF" w:rsidP="005222AF">
      <w:pPr>
        <w:pStyle w:val="Title"/>
        <w:rPr>
          <w:rFonts w:ascii="Times New Roman" w:hAnsi="Times New Roman" w:cs="Times New Roman"/>
        </w:rPr>
      </w:pPr>
      <w:r w:rsidRPr="0080295A">
        <w:rPr>
          <w:rFonts w:ascii="Times New Roman" w:hAnsi="Times New Roman" w:cs="Times New Roman"/>
        </w:rPr>
        <w:t xml:space="preserve"> IPA adds child health statements to the 68</w:t>
      </w:r>
      <w:r w:rsidRPr="0080295A">
        <w:rPr>
          <w:rFonts w:ascii="Times New Roman" w:hAnsi="Times New Roman" w:cs="Times New Roman"/>
          <w:vertAlign w:val="superscript"/>
        </w:rPr>
        <w:t>th</w:t>
      </w:r>
      <w:r w:rsidRPr="0080295A">
        <w:rPr>
          <w:rFonts w:ascii="Times New Roman" w:hAnsi="Times New Roman" w:cs="Times New Roman"/>
        </w:rPr>
        <w:t xml:space="preserve"> Meeting of World Health Assembly</w:t>
      </w:r>
    </w:p>
    <w:p w:rsidR="005222AF" w:rsidRPr="0080295A" w:rsidRDefault="005222AF" w:rsidP="0035016F">
      <w:pPr>
        <w:rPr>
          <w:rFonts w:ascii="Times New Roman" w:hAnsi="Times New Roman" w:cs="Times New Roman"/>
          <w:sz w:val="28"/>
          <w:szCs w:val="28"/>
        </w:rPr>
      </w:pPr>
    </w:p>
    <w:p w:rsidR="00341E12" w:rsidRPr="0080295A" w:rsidRDefault="000D2491" w:rsidP="0035016F">
      <w:pPr>
        <w:rPr>
          <w:rFonts w:ascii="Times New Roman" w:hAnsi="Times New Roman" w:cs="Times New Roman"/>
          <w:sz w:val="28"/>
          <w:szCs w:val="28"/>
        </w:rPr>
      </w:pPr>
      <w:r w:rsidRPr="0080295A">
        <w:rPr>
          <w:rFonts w:ascii="Times New Roman" w:hAnsi="Times New Roman" w:cs="Times New Roman"/>
          <w:sz w:val="28"/>
          <w:szCs w:val="28"/>
        </w:rPr>
        <w:t xml:space="preserve">       The IPA</w:t>
      </w:r>
      <w:r w:rsidR="003666CF" w:rsidRPr="0080295A">
        <w:rPr>
          <w:rFonts w:ascii="Times New Roman" w:hAnsi="Times New Roman" w:cs="Times New Roman"/>
          <w:sz w:val="28"/>
          <w:szCs w:val="28"/>
        </w:rPr>
        <w:t xml:space="preserve"> also</w:t>
      </w:r>
      <w:r w:rsidRPr="0080295A">
        <w:rPr>
          <w:rFonts w:ascii="Times New Roman" w:hAnsi="Times New Roman" w:cs="Times New Roman"/>
          <w:sz w:val="28"/>
          <w:szCs w:val="28"/>
        </w:rPr>
        <w:t xml:space="preserve"> submitted three position papers </w:t>
      </w:r>
      <w:r w:rsidR="003666CF" w:rsidRPr="0080295A">
        <w:rPr>
          <w:rFonts w:ascii="Times New Roman" w:hAnsi="Times New Roman" w:cs="Times New Roman"/>
          <w:sz w:val="28"/>
          <w:szCs w:val="28"/>
        </w:rPr>
        <w:t>for</w:t>
      </w:r>
      <w:r w:rsidRPr="0080295A">
        <w:rPr>
          <w:rFonts w:ascii="Times New Roman" w:hAnsi="Times New Roman" w:cs="Times New Roman"/>
          <w:sz w:val="28"/>
          <w:szCs w:val="28"/>
        </w:rPr>
        <w:t xml:space="preserve"> consideration by the WHA delegates. These three position statements were formed with the leadership of the related Technical Advisory Groups</w:t>
      </w:r>
      <w:r w:rsidR="00341E12" w:rsidRPr="0080295A">
        <w:rPr>
          <w:rFonts w:ascii="Times New Roman" w:hAnsi="Times New Roman" w:cs="Times New Roman"/>
          <w:sz w:val="28"/>
          <w:szCs w:val="28"/>
        </w:rPr>
        <w:t xml:space="preserve"> (TAGs)</w:t>
      </w:r>
      <w:r w:rsidR="00CE209D" w:rsidRPr="0080295A">
        <w:rPr>
          <w:rFonts w:ascii="Times New Roman" w:hAnsi="Times New Roman" w:cs="Times New Roman"/>
          <w:sz w:val="28"/>
          <w:szCs w:val="28"/>
        </w:rPr>
        <w:t xml:space="preserve"> of the IPA </w:t>
      </w:r>
      <w:r w:rsidR="003666CF" w:rsidRPr="0080295A">
        <w:rPr>
          <w:rFonts w:ascii="Times New Roman" w:hAnsi="Times New Roman" w:cs="Times New Roman"/>
          <w:sz w:val="28"/>
          <w:szCs w:val="28"/>
        </w:rPr>
        <w:t>and</w:t>
      </w:r>
      <w:r w:rsidR="00341E12" w:rsidRPr="0080295A">
        <w:rPr>
          <w:rFonts w:ascii="Times New Roman" w:hAnsi="Times New Roman" w:cs="Times New Roman"/>
          <w:sz w:val="28"/>
          <w:szCs w:val="28"/>
        </w:rPr>
        <w:t xml:space="preserve"> are available below:</w:t>
      </w:r>
    </w:p>
    <w:p w:rsidR="00341E12" w:rsidRPr="00BC34D3" w:rsidRDefault="00341E12" w:rsidP="0035016F">
      <w:pPr>
        <w:rPr>
          <w:rFonts w:ascii="Times New Roman" w:hAnsi="Times New Roman" w:cs="Times New Roman"/>
          <w:color w:val="244061" w:themeColor="accent1" w:themeShade="80"/>
          <w:sz w:val="28"/>
          <w:szCs w:val="28"/>
          <w:u w:val="single"/>
        </w:rPr>
      </w:pPr>
      <w:r w:rsidRPr="00BC34D3">
        <w:rPr>
          <w:rFonts w:ascii="Times New Roman" w:hAnsi="Times New Roman" w:cs="Times New Roman"/>
          <w:color w:val="244061" w:themeColor="accent1" w:themeShade="80"/>
          <w:sz w:val="28"/>
          <w:szCs w:val="28"/>
          <w:u w:val="single"/>
        </w:rPr>
        <w:t>-</w:t>
      </w:r>
      <w:r w:rsidRPr="00BC34D3">
        <w:rPr>
          <w:rFonts w:ascii="Times New Roman" w:hAnsi="Times New Roman" w:cs="Times New Roman"/>
          <w:b/>
          <w:color w:val="244061" w:themeColor="accent1" w:themeShade="80"/>
          <w:sz w:val="28"/>
          <w:szCs w:val="28"/>
          <w:u w:val="single"/>
        </w:rPr>
        <w:t>Adolescent Health &amp; Professional Education</w:t>
      </w:r>
      <w:r w:rsidR="007471B2" w:rsidRPr="00BC34D3">
        <w:rPr>
          <w:rFonts w:ascii="Times New Roman" w:hAnsi="Times New Roman" w:cs="Times New Roman"/>
          <w:color w:val="244061" w:themeColor="accent1" w:themeShade="80"/>
          <w:sz w:val="28"/>
          <w:szCs w:val="28"/>
          <w:u w:val="single"/>
        </w:rPr>
        <w:t>. P</w:t>
      </w:r>
      <w:r w:rsidRPr="00BC34D3">
        <w:rPr>
          <w:rFonts w:ascii="Times New Roman" w:hAnsi="Times New Roman" w:cs="Times New Roman"/>
          <w:color w:val="244061" w:themeColor="accent1" w:themeShade="80"/>
          <w:sz w:val="28"/>
          <w:szCs w:val="28"/>
          <w:u w:val="single"/>
        </w:rPr>
        <w:t>rimary author Dr. Helene Fonseca, chair of IPA’s Adolescent Medicine TAG</w:t>
      </w:r>
    </w:p>
    <w:p w:rsidR="0080295A" w:rsidRPr="0080295A" w:rsidRDefault="0080295A" w:rsidP="0080295A">
      <w:pPr>
        <w:spacing w:after="360"/>
        <w:rPr>
          <w:rFonts w:ascii="Times New Roman" w:hAnsi="Times New Roman" w:cs="Times New Roman"/>
        </w:rPr>
      </w:pPr>
      <w:r w:rsidRPr="0080295A">
        <w:rPr>
          <w:rFonts w:ascii="Times New Roman" w:hAnsi="Times New Roman" w:cs="Times New Roman"/>
        </w:rPr>
        <w:t>Position Statement, 2015 World Health Assembly</w:t>
      </w:r>
      <w:r w:rsidRPr="0080295A">
        <w:rPr>
          <w:rFonts w:ascii="Times New Roman" w:hAnsi="Times New Roman" w:cs="Times New Roman"/>
        </w:rPr>
        <w:br/>
      </w:r>
      <w:r w:rsidRPr="0080295A">
        <w:rPr>
          <w:rFonts w:ascii="Times New Roman" w:hAnsi="Times New Roman" w:cs="Times New Roman"/>
          <w:b/>
        </w:rPr>
        <w:t>Adolescent Health</w:t>
      </w:r>
      <w:r w:rsidRPr="0080295A">
        <w:rPr>
          <w:rFonts w:ascii="Times New Roman" w:hAnsi="Times New Roman" w:cs="Times New Roman"/>
        </w:rPr>
        <w:t xml:space="preserve"> </w:t>
      </w:r>
      <w:r w:rsidRPr="0080295A">
        <w:rPr>
          <w:rFonts w:ascii="Times New Roman" w:hAnsi="Times New Roman" w:cs="Times New Roman"/>
        </w:rPr>
        <w:br/>
        <w:t>International Pediatric Association</w:t>
      </w:r>
      <w:r w:rsidRPr="0080295A">
        <w:rPr>
          <w:rFonts w:ascii="Times New Roman" w:hAnsi="Times New Roman" w:cs="Times New Roman"/>
        </w:rPr>
        <w:br/>
        <w:t>April 2015</w:t>
      </w:r>
    </w:p>
    <w:p w:rsidR="0080295A" w:rsidRPr="0080295A" w:rsidRDefault="0080295A" w:rsidP="0080295A">
      <w:pPr>
        <w:jc w:val="both"/>
        <w:rPr>
          <w:rFonts w:ascii="Times New Roman" w:hAnsi="Times New Roman" w:cs="Times New Roman"/>
        </w:rPr>
      </w:pPr>
      <w:r w:rsidRPr="0080295A">
        <w:rPr>
          <w:rFonts w:ascii="Times New Roman" w:hAnsi="Times New Roman" w:cs="Times New Roman"/>
        </w:rPr>
        <w:t xml:space="preserve">Mortality rates in all age groups have declined during the past 20 years.  However, mortality among adolescents has decreased less than in most other age groups, overtaking childhood mortality in some countries.  </w:t>
      </w:r>
    </w:p>
    <w:p w:rsidR="0080295A" w:rsidRPr="0080295A" w:rsidRDefault="0080295A" w:rsidP="0080295A">
      <w:pPr>
        <w:jc w:val="both"/>
        <w:rPr>
          <w:rFonts w:ascii="Times New Roman" w:hAnsi="Times New Roman" w:cs="Times New Roman"/>
        </w:rPr>
      </w:pPr>
      <w:r w:rsidRPr="0080295A">
        <w:rPr>
          <w:rFonts w:ascii="Times New Roman" w:hAnsi="Times New Roman" w:cs="Times New Roman"/>
        </w:rPr>
        <w:t xml:space="preserve">Most deaths in young people are preventable.  Nearly 2/3’s of premature deaths and 1/3 of the disease burden in adults are associated with conditions or behaviors that began during adolescence. Policy change and education can address unhealthy lifestyles.  Inattention is destructive.  Dysfunctional adolescence saps the strength of families and weakens the future of nations. </w:t>
      </w:r>
    </w:p>
    <w:p w:rsidR="0080295A" w:rsidRPr="0080295A" w:rsidRDefault="0080295A" w:rsidP="0080295A">
      <w:pPr>
        <w:jc w:val="both"/>
        <w:rPr>
          <w:rFonts w:ascii="Times New Roman" w:hAnsi="Times New Roman" w:cs="Times New Roman"/>
        </w:rPr>
      </w:pPr>
      <w:r w:rsidRPr="0080295A">
        <w:rPr>
          <w:rFonts w:ascii="Times New Roman" w:hAnsi="Times New Roman" w:cs="Times New Roman"/>
        </w:rPr>
        <w:t xml:space="preserve">Adolescents have specific vulnerabilities, capabilities, receptiveness and health care needs that evolve throughout the second decade of life.  Very often care and support for young people is characterized by misconceptions, unavailability, unreliability and insufficiency.  An essential pathway to construct an effective system of care and prevention for adolescents is skilled participation of health care professionals.  Current training for these professionals is largely absent. The most effective window of opportunity for training health professionals is the pre-graduate level. Such training can assure that every graduating health professional has received basic knowledge, direct experience and skills that will enable them to understand needs of adolescents, be trusted by them and sensitively address their specific needs in a successful way. </w:t>
      </w:r>
    </w:p>
    <w:p w:rsidR="0080295A" w:rsidRPr="0080295A" w:rsidRDefault="0080295A" w:rsidP="0080295A">
      <w:pPr>
        <w:pStyle w:val="ListParagraph"/>
        <w:numPr>
          <w:ilvl w:val="0"/>
          <w:numId w:val="1"/>
        </w:numPr>
        <w:spacing w:after="0" w:line="240" w:lineRule="auto"/>
        <w:rPr>
          <w:rFonts w:ascii="Times New Roman" w:hAnsi="Times New Roman"/>
        </w:rPr>
      </w:pPr>
      <w:r w:rsidRPr="0080295A">
        <w:rPr>
          <w:rFonts w:ascii="Times New Roman" w:hAnsi="Times New Roman"/>
        </w:rPr>
        <w:t>The IPA urges the WHA members to vigorously support significant global advocacy, comprehensive, intersectional programming and national evidence based policies to touch the lives of vulnerable adolescents with positive interventions that will help direct them to positive outcomes.</w:t>
      </w:r>
      <w:r w:rsidRPr="0080295A">
        <w:rPr>
          <w:rFonts w:ascii="Times New Roman" w:hAnsi="Times New Roman"/>
        </w:rPr>
        <w:br/>
      </w:r>
    </w:p>
    <w:p w:rsidR="0080295A" w:rsidRPr="0080295A" w:rsidRDefault="0080295A" w:rsidP="0080295A">
      <w:pPr>
        <w:pStyle w:val="ListParagraph"/>
        <w:numPr>
          <w:ilvl w:val="0"/>
          <w:numId w:val="1"/>
        </w:numPr>
        <w:spacing w:after="0" w:line="240" w:lineRule="auto"/>
        <w:rPr>
          <w:rFonts w:ascii="Times New Roman" w:hAnsi="Times New Roman"/>
        </w:rPr>
      </w:pPr>
      <w:r w:rsidRPr="0080295A">
        <w:rPr>
          <w:rFonts w:ascii="Times New Roman" w:hAnsi="Times New Roman"/>
        </w:rPr>
        <w:t xml:space="preserve">The IPA urges the WHA members to require adolescent development and health delivery content for undergraduate health professionals.  The IPA will advance its post graduate support for continued professional development, helping each of its 140 member national societies deliver skilled, trusted and successful adolescent care. </w:t>
      </w:r>
    </w:p>
    <w:p w:rsidR="0080295A" w:rsidRPr="0080295A" w:rsidRDefault="0080295A" w:rsidP="0080295A">
      <w:pPr>
        <w:spacing w:after="0" w:line="240" w:lineRule="auto"/>
        <w:jc w:val="both"/>
        <w:rPr>
          <w:rFonts w:ascii="Times New Roman" w:hAnsi="Times New Roman" w:cs="Times New Roman"/>
        </w:rPr>
      </w:pPr>
    </w:p>
    <w:p w:rsidR="0080295A" w:rsidRPr="0080295A" w:rsidRDefault="0080295A" w:rsidP="0035016F">
      <w:pPr>
        <w:rPr>
          <w:rFonts w:ascii="Times New Roman" w:hAnsi="Times New Roman" w:cs="Times New Roman"/>
          <w:sz w:val="28"/>
          <w:szCs w:val="28"/>
        </w:rPr>
      </w:pPr>
    </w:p>
    <w:p w:rsidR="00341E12" w:rsidRPr="00BC34D3" w:rsidRDefault="00341E12" w:rsidP="0035016F">
      <w:pPr>
        <w:rPr>
          <w:rFonts w:ascii="Times New Roman" w:hAnsi="Times New Roman" w:cs="Times New Roman"/>
          <w:color w:val="244061" w:themeColor="accent1" w:themeShade="80"/>
          <w:sz w:val="28"/>
          <w:szCs w:val="28"/>
          <w:u w:val="single"/>
        </w:rPr>
      </w:pPr>
      <w:r w:rsidRPr="00BC34D3">
        <w:rPr>
          <w:rFonts w:ascii="Times New Roman" w:hAnsi="Times New Roman" w:cs="Times New Roman"/>
          <w:color w:val="244061" w:themeColor="accent1" w:themeShade="80"/>
          <w:sz w:val="28"/>
          <w:szCs w:val="28"/>
          <w:u w:val="single"/>
        </w:rPr>
        <w:t>-</w:t>
      </w:r>
      <w:r w:rsidRPr="00BC34D3">
        <w:rPr>
          <w:rFonts w:ascii="Times New Roman" w:hAnsi="Times New Roman" w:cs="Times New Roman"/>
          <w:b/>
          <w:color w:val="244061" w:themeColor="accent1" w:themeShade="80"/>
          <w:sz w:val="28"/>
          <w:szCs w:val="28"/>
          <w:u w:val="single"/>
        </w:rPr>
        <w:t>Non Communicable Disease &amp; Children</w:t>
      </w:r>
      <w:r w:rsidRPr="00BC34D3">
        <w:rPr>
          <w:rFonts w:ascii="Times New Roman" w:hAnsi="Times New Roman" w:cs="Times New Roman"/>
          <w:color w:val="244061" w:themeColor="accent1" w:themeShade="80"/>
          <w:sz w:val="28"/>
          <w:szCs w:val="28"/>
          <w:u w:val="single"/>
        </w:rPr>
        <w:t>. Primary author, Dr. Jon Klein, chair of IPA’s NCD TAG</w:t>
      </w:r>
    </w:p>
    <w:p w:rsidR="0080295A" w:rsidRPr="0080295A" w:rsidRDefault="0080295A" w:rsidP="0080295A">
      <w:pPr>
        <w:rPr>
          <w:rFonts w:ascii="Times New Roman" w:hAnsi="Times New Roman" w:cs="Times New Roman"/>
        </w:rPr>
      </w:pPr>
      <w:r w:rsidRPr="0080295A">
        <w:rPr>
          <w:rFonts w:ascii="Times New Roman" w:hAnsi="Times New Roman" w:cs="Times New Roman"/>
          <w:noProof/>
        </w:rPr>
        <w:drawing>
          <wp:anchor distT="0" distB="0" distL="114300" distR="114300" simplePos="0" relativeHeight="251659264" behindDoc="0" locked="0" layoutInCell="1" allowOverlap="1" wp14:anchorId="174A36A4" wp14:editId="151F02A7">
            <wp:simplePos x="0" y="0"/>
            <wp:positionH relativeFrom="margin">
              <wp:align>right</wp:align>
            </wp:positionH>
            <wp:positionV relativeFrom="paragraph">
              <wp:posOffset>-43180</wp:posOffset>
            </wp:positionV>
            <wp:extent cx="1457325" cy="877238"/>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6" cstate="print">
                      <a:extLst>
                        <a:ext uri="{28A0092B-C50C-407E-A947-70E740481C1C}">
                          <a14:useLocalDpi xmlns:a14="http://schemas.microsoft.com/office/drawing/2010/main" val="0"/>
                        </a:ext>
                      </a:extLst>
                    </a:blip>
                    <a:srcRect b="3715"/>
                    <a:stretch/>
                  </pic:blipFill>
                  <pic:spPr>
                    <a:xfrm>
                      <a:off x="0" y="0"/>
                      <a:ext cx="1457325" cy="877238"/>
                    </a:xfrm>
                    <a:prstGeom prst="rect">
                      <a:avLst/>
                    </a:prstGeom>
                  </pic:spPr>
                </pic:pic>
              </a:graphicData>
            </a:graphic>
            <wp14:sizeRelH relativeFrom="margin">
              <wp14:pctWidth>0</wp14:pctWidth>
            </wp14:sizeRelH>
            <wp14:sizeRelV relativeFrom="margin">
              <wp14:pctHeight>0</wp14:pctHeight>
            </wp14:sizeRelV>
          </wp:anchor>
        </w:drawing>
      </w:r>
      <w:r w:rsidRPr="0080295A">
        <w:rPr>
          <w:rFonts w:ascii="Times New Roman" w:hAnsi="Times New Roman" w:cs="Times New Roman"/>
        </w:rPr>
        <w:t>Statement to the World Health Assembly. May 2015</w:t>
      </w:r>
      <w:r w:rsidRPr="0080295A">
        <w:rPr>
          <w:rFonts w:ascii="Times New Roman" w:hAnsi="Times New Roman" w:cs="Times New Roman"/>
        </w:rPr>
        <w:br/>
      </w:r>
      <w:r w:rsidRPr="0080295A">
        <w:rPr>
          <w:rFonts w:ascii="Times New Roman" w:hAnsi="Times New Roman" w:cs="Times New Roman"/>
          <w:b/>
        </w:rPr>
        <w:t xml:space="preserve">Non-Communicable Diseases: Time to Act for Children </w:t>
      </w:r>
      <w:r w:rsidRPr="0080295A">
        <w:rPr>
          <w:rFonts w:ascii="Times New Roman" w:hAnsi="Times New Roman" w:cs="Times New Roman"/>
        </w:rPr>
        <w:br/>
        <w:t>International Pediatric Association, in collaboration with NCD Child</w:t>
      </w:r>
    </w:p>
    <w:p w:rsidR="0080295A" w:rsidRPr="0080295A" w:rsidRDefault="0080295A" w:rsidP="00214AF4">
      <w:pPr>
        <w:rPr>
          <w:rFonts w:ascii="Times New Roman" w:hAnsi="Times New Roman"/>
          <w:color w:val="000000" w:themeColor="text1"/>
          <w:sz w:val="24"/>
          <w:szCs w:val="24"/>
        </w:rPr>
      </w:pPr>
      <w:r w:rsidRPr="0080295A">
        <w:rPr>
          <w:rFonts w:ascii="Times New Roman" w:hAnsi="Times New Roman" w:cs="Times New Roman"/>
        </w:rPr>
        <w:t xml:space="preserve"> </w:t>
      </w:r>
      <w:r w:rsidRPr="0080295A">
        <w:rPr>
          <w:rFonts w:ascii="Times New Roman" w:hAnsi="Times New Roman"/>
          <w:color w:val="000000" w:themeColor="text1"/>
          <w:sz w:val="24"/>
          <w:szCs w:val="24"/>
        </w:rPr>
        <w:t xml:space="preserve">Non-communicable diseases (NCDs) cause many preventable deaths and disability. Infancy, childhood and adolescence are critical times for prevention. Children and youth living with and at risk for NCDs require health care specific to their needs. Effective prevention, affordable diagnosis and competent treatment, including pain management and palliative care should be vigorously supported by WHA members as a matter of good governance, building national strength and the demands of equity and human rights.  </w:t>
      </w:r>
    </w:p>
    <w:p w:rsidR="0080295A" w:rsidRPr="0080295A" w:rsidRDefault="0080295A" w:rsidP="0080295A">
      <w:pPr>
        <w:pStyle w:val="ListParagraph"/>
        <w:spacing w:after="120" w:line="240" w:lineRule="auto"/>
        <w:ind w:left="0"/>
        <w:jc w:val="both"/>
        <w:rPr>
          <w:rFonts w:ascii="Times New Roman" w:hAnsi="Times New Roman"/>
          <w:color w:val="000000" w:themeColor="text1"/>
          <w:sz w:val="24"/>
          <w:szCs w:val="24"/>
        </w:rPr>
      </w:pPr>
    </w:p>
    <w:p w:rsidR="0080295A" w:rsidRPr="0080295A" w:rsidRDefault="0080295A" w:rsidP="0080295A">
      <w:pPr>
        <w:pStyle w:val="ListParagraph"/>
        <w:spacing w:after="120" w:line="240" w:lineRule="auto"/>
        <w:ind w:left="0"/>
        <w:jc w:val="both"/>
        <w:rPr>
          <w:rFonts w:ascii="Times New Roman" w:hAnsi="Times New Roman"/>
          <w:color w:val="000000" w:themeColor="text1"/>
          <w:sz w:val="24"/>
          <w:szCs w:val="24"/>
        </w:rPr>
      </w:pPr>
      <w:r w:rsidRPr="0080295A">
        <w:rPr>
          <w:rFonts w:ascii="Times New Roman" w:hAnsi="Times New Roman"/>
          <w:color w:val="000000" w:themeColor="text1"/>
          <w:sz w:val="24"/>
          <w:szCs w:val="24"/>
        </w:rPr>
        <w:t xml:space="preserve">Prevention and treatment of NCDs contribute cost effectively to maternal and child survival goals. For example, tobacco and secondhand smoke exposure affect adult cancers, diabetes, and cardiovascular death rates, and also impact low birth-weight, prematurity, respiratory infections, asthma and are a leading cause of sudden infant death syndrome. </w:t>
      </w:r>
    </w:p>
    <w:p w:rsidR="0080295A" w:rsidRPr="0080295A" w:rsidRDefault="0080295A" w:rsidP="0080295A">
      <w:pPr>
        <w:pStyle w:val="ListParagraph"/>
        <w:spacing w:after="120" w:line="240" w:lineRule="auto"/>
        <w:ind w:left="0"/>
        <w:jc w:val="both"/>
        <w:rPr>
          <w:rFonts w:ascii="Times New Roman" w:hAnsi="Times New Roman"/>
          <w:color w:val="000000" w:themeColor="text1"/>
          <w:sz w:val="24"/>
          <w:szCs w:val="24"/>
        </w:rPr>
      </w:pPr>
    </w:p>
    <w:p w:rsidR="0080295A" w:rsidRPr="0080295A" w:rsidRDefault="0080295A" w:rsidP="0080295A">
      <w:pPr>
        <w:pStyle w:val="ListParagraph"/>
        <w:spacing w:after="120" w:line="240" w:lineRule="auto"/>
        <w:ind w:left="0"/>
        <w:jc w:val="both"/>
        <w:rPr>
          <w:rFonts w:ascii="Times New Roman" w:hAnsi="Times New Roman"/>
          <w:color w:val="000000" w:themeColor="text1"/>
          <w:sz w:val="24"/>
          <w:szCs w:val="24"/>
        </w:rPr>
      </w:pPr>
      <w:bookmarkStart w:id="0" w:name="_GoBack"/>
      <w:bookmarkEnd w:id="0"/>
    </w:p>
    <w:p w:rsidR="0080295A" w:rsidRPr="0080295A" w:rsidRDefault="0080295A" w:rsidP="0080295A">
      <w:pPr>
        <w:pStyle w:val="ListParagraph"/>
        <w:spacing w:after="0" w:line="240" w:lineRule="auto"/>
        <w:ind w:left="0"/>
        <w:jc w:val="both"/>
        <w:rPr>
          <w:rFonts w:ascii="Times New Roman" w:hAnsi="Times New Roman"/>
          <w:bCs/>
          <w:color w:val="000000" w:themeColor="text1"/>
          <w:sz w:val="24"/>
          <w:szCs w:val="24"/>
          <w:lang w:val="en-AU"/>
        </w:rPr>
      </w:pPr>
      <w:r w:rsidRPr="0080295A">
        <w:rPr>
          <w:rFonts w:ascii="Times New Roman" w:hAnsi="Times New Roman"/>
          <w:color w:val="000000" w:themeColor="text1"/>
          <w:sz w:val="24"/>
          <w:szCs w:val="24"/>
        </w:rPr>
        <w:t xml:space="preserve">Member States </w:t>
      </w:r>
      <w:r w:rsidRPr="0080295A">
        <w:rPr>
          <w:rFonts w:ascii="Times New Roman" w:hAnsi="Times New Roman"/>
          <w:bCs/>
          <w:color w:val="000000" w:themeColor="text1"/>
          <w:sz w:val="24"/>
          <w:szCs w:val="24"/>
          <w:lang w:val="en-AU"/>
        </w:rPr>
        <w:t xml:space="preserve">are urged to: </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bCs/>
          <w:color w:val="000000" w:themeColor="text1"/>
          <w:sz w:val="24"/>
          <w:szCs w:val="24"/>
          <w:lang w:val="en-AU"/>
        </w:rPr>
        <w:t>Implement</w:t>
      </w:r>
      <w:r w:rsidRPr="0080295A">
        <w:rPr>
          <w:rFonts w:ascii="Times New Roman" w:hAnsi="Times New Roman"/>
          <w:color w:val="000000" w:themeColor="text1"/>
          <w:sz w:val="24"/>
          <w:szCs w:val="24"/>
        </w:rPr>
        <w:t xml:space="preserve"> effective interventions within national newborn, child and adolescent health and NCD plans.</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eastAsia="Times New Roman" w:hAnsi="Times New Roman"/>
          <w:color w:val="000000" w:themeColor="text1"/>
          <w:sz w:val="24"/>
          <w:szCs w:val="24"/>
        </w:rPr>
        <w:t>Provide access to care for children and youth with cancer, heart disease, diabetes, respiratory diseases, and other NCDs by developing systems, personnel and resources for universal health care for families and individuals with NCDs.</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color w:val="000000" w:themeColor="text1"/>
          <w:sz w:val="24"/>
          <w:szCs w:val="24"/>
        </w:rPr>
        <w:t>Incorporate the connection between NCD prevention and maternal and child survival goals into national newborn, RMNCH, and NCD plans.</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color w:val="000000" w:themeColor="text1"/>
          <w:sz w:val="24"/>
          <w:szCs w:val="24"/>
        </w:rPr>
        <w:t xml:space="preserve">Include NCDs and children/youth in </w:t>
      </w:r>
      <w:r w:rsidRPr="0080295A">
        <w:rPr>
          <w:rFonts w:ascii="Times New Roman" w:eastAsia="Times New Roman" w:hAnsi="Times New Roman"/>
          <w:color w:val="000000" w:themeColor="text1"/>
          <w:sz w:val="24"/>
          <w:szCs w:val="24"/>
        </w:rPr>
        <w:t>health system planning and accountability.</w:t>
      </w:r>
      <w:r w:rsidRPr="0080295A">
        <w:rPr>
          <w:rFonts w:ascii="Times New Roman" w:hAnsi="Times New Roman"/>
          <w:color w:val="000000" w:themeColor="text1"/>
          <w:sz w:val="24"/>
          <w:szCs w:val="24"/>
        </w:rPr>
        <w:t xml:space="preserve"> </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color w:val="000000" w:themeColor="text1"/>
          <w:sz w:val="24"/>
          <w:szCs w:val="24"/>
        </w:rPr>
        <w:t xml:space="preserve">Include youth, family and professional voices in planning health systems, including for prevention and treatment of NCDs for children and youth.   </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color w:val="000000" w:themeColor="text1"/>
          <w:sz w:val="24"/>
          <w:szCs w:val="24"/>
        </w:rPr>
        <w:t xml:space="preserve">Include prevention of NCDs for newborns, children and youth in the </w:t>
      </w:r>
      <w:r w:rsidRPr="0080295A">
        <w:rPr>
          <w:rFonts w:ascii="Times New Roman" w:hAnsi="Times New Roman"/>
          <w:iCs/>
          <w:color w:val="000000" w:themeColor="text1"/>
          <w:sz w:val="24"/>
          <w:szCs w:val="24"/>
        </w:rPr>
        <w:t xml:space="preserve">post-2015 sustainable development goals, with specific age-based targets for nutrition, tobacco use and secondhand smoke exposure, injury, mental health, and </w:t>
      </w:r>
      <w:r w:rsidRPr="0080295A">
        <w:rPr>
          <w:rFonts w:ascii="Times New Roman" w:eastAsia="Times New Roman" w:hAnsi="Times New Roman"/>
          <w:color w:val="000000" w:themeColor="text1"/>
          <w:sz w:val="24"/>
          <w:szCs w:val="24"/>
        </w:rPr>
        <w:t>safe sexual practices.</w:t>
      </w:r>
    </w:p>
    <w:p w:rsidR="0080295A" w:rsidRPr="0080295A" w:rsidRDefault="0080295A" w:rsidP="0080295A">
      <w:pPr>
        <w:pStyle w:val="ListParagraph"/>
        <w:numPr>
          <w:ilvl w:val="0"/>
          <w:numId w:val="2"/>
        </w:numPr>
        <w:spacing w:after="0" w:line="240" w:lineRule="auto"/>
        <w:rPr>
          <w:rFonts w:ascii="Times New Roman" w:hAnsi="Times New Roman"/>
          <w:color w:val="000000" w:themeColor="text1"/>
          <w:sz w:val="24"/>
          <w:szCs w:val="24"/>
        </w:rPr>
      </w:pPr>
      <w:r w:rsidRPr="0080295A">
        <w:rPr>
          <w:rFonts w:ascii="Times New Roman" w:hAnsi="Times New Roman"/>
          <w:iCs/>
          <w:color w:val="000000" w:themeColor="text1"/>
          <w:sz w:val="24"/>
          <w:szCs w:val="24"/>
        </w:rPr>
        <w:t xml:space="preserve">Include age stratified data for newborn, child/adolescent NCDs and NCD risk factors in the SDG indicators. </w:t>
      </w:r>
    </w:p>
    <w:p w:rsidR="0080295A" w:rsidRPr="00BC34D3" w:rsidRDefault="0080295A" w:rsidP="0035016F">
      <w:pPr>
        <w:rPr>
          <w:rFonts w:ascii="Times New Roman" w:hAnsi="Times New Roman" w:cs="Times New Roman"/>
          <w:color w:val="244061" w:themeColor="accent1" w:themeShade="80"/>
          <w:sz w:val="28"/>
          <w:szCs w:val="28"/>
        </w:rPr>
      </w:pPr>
    </w:p>
    <w:p w:rsidR="000D2491" w:rsidRPr="00BC34D3" w:rsidRDefault="00341E12" w:rsidP="0035016F">
      <w:pPr>
        <w:rPr>
          <w:rFonts w:ascii="Times New Roman" w:hAnsi="Times New Roman" w:cs="Times New Roman"/>
          <w:color w:val="244061" w:themeColor="accent1" w:themeShade="80"/>
          <w:sz w:val="28"/>
          <w:szCs w:val="28"/>
          <w:u w:val="single"/>
        </w:rPr>
      </w:pPr>
      <w:r w:rsidRPr="00BC34D3">
        <w:rPr>
          <w:rFonts w:ascii="Times New Roman" w:hAnsi="Times New Roman" w:cs="Times New Roman"/>
          <w:color w:val="244061" w:themeColor="accent1" w:themeShade="80"/>
          <w:sz w:val="28"/>
          <w:szCs w:val="28"/>
          <w:u w:val="single"/>
        </w:rPr>
        <w:t>-</w:t>
      </w:r>
      <w:r w:rsidRPr="00BC34D3">
        <w:rPr>
          <w:rFonts w:ascii="Times New Roman" w:hAnsi="Times New Roman" w:cs="Times New Roman"/>
          <w:b/>
          <w:color w:val="244061" w:themeColor="accent1" w:themeShade="80"/>
          <w:sz w:val="28"/>
          <w:szCs w:val="28"/>
          <w:u w:val="single"/>
        </w:rPr>
        <w:t xml:space="preserve">Child Survival: </w:t>
      </w:r>
      <w:r w:rsidRPr="00BC34D3">
        <w:rPr>
          <w:rFonts w:ascii="Times New Roman" w:hAnsi="Times New Roman" w:cs="Times New Roman"/>
          <w:color w:val="244061" w:themeColor="accent1" w:themeShade="80"/>
          <w:sz w:val="28"/>
          <w:szCs w:val="28"/>
          <w:u w:val="single"/>
        </w:rPr>
        <w:t>Primary author, Dr. Doug McMill</w:t>
      </w:r>
      <w:r w:rsidR="003666CF" w:rsidRPr="00BC34D3">
        <w:rPr>
          <w:rFonts w:ascii="Times New Roman" w:hAnsi="Times New Roman" w:cs="Times New Roman"/>
          <w:color w:val="244061" w:themeColor="accent1" w:themeShade="80"/>
          <w:sz w:val="28"/>
          <w:szCs w:val="28"/>
          <w:u w:val="single"/>
        </w:rPr>
        <w:t>a</w:t>
      </w:r>
      <w:r w:rsidR="0080295A" w:rsidRPr="00BC34D3">
        <w:rPr>
          <w:rFonts w:ascii="Times New Roman" w:hAnsi="Times New Roman" w:cs="Times New Roman"/>
          <w:color w:val="244061" w:themeColor="accent1" w:themeShade="80"/>
          <w:sz w:val="28"/>
          <w:szCs w:val="28"/>
          <w:u w:val="single"/>
        </w:rPr>
        <w:t>n, Co-C</w:t>
      </w:r>
      <w:r w:rsidRPr="00BC34D3">
        <w:rPr>
          <w:rFonts w:ascii="Times New Roman" w:hAnsi="Times New Roman" w:cs="Times New Roman"/>
          <w:color w:val="244061" w:themeColor="accent1" w:themeShade="80"/>
          <w:sz w:val="28"/>
          <w:szCs w:val="28"/>
          <w:u w:val="single"/>
        </w:rPr>
        <w:t>hair of IPA’s Child Survival TAG.</w:t>
      </w:r>
    </w:p>
    <w:p w:rsidR="0080295A" w:rsidRPr="0080295A" w:rsidRDefault="0080295A" w:rsidP="0080295A">
      <w:pPr>
        <w:spacing w:after="360"/>
        <w:rPr>
          <w:rFonts w:ascii="Times New Roman" w:eastAsia="Calibri" w:hAnsi="Times New Roman" w:cs="Times New Roman"/>
        </w:rPr>
      </w:pPr>
      <w:r w:rsidRPr="0080295A">
        <w:rPr>
          <w:rFonts w:ascii="Times New Roman" w:eastAsia="Calibri" w:hAnsi="Times New Roman" w:cs="Times New Roman"/>
        </w:rPr>
        <w:t>Position Statement, 2015 World Health Assembly</w:t>
      </w:r>
      <w:r w:rsidRPr="0080295A">
        <w:rPr>
          <w:rFonts w:ascii="Times New Roman" w:eastAsia="Calibri" w:hAnsi="Times New Roman" w:cs="Times New Roman"/>
        </w:rPr>
        <w:br/>
      </w:r>
      <w:r w:rsidRPr="0080295A">
        <w:rPr>
          <w:rFonts w:ascii="Times New Roman" w:eastAsia="Calibri" w:hAnsi="Times New Roman" w:cs="Times New Roman"/>
          <w:b/>
        </w:rPr>
        <w:t>Supporting Improvement in Child Health and Outcome</w:t>
      </w:r>
      <w:r w:rsidRPr="0080295A">
        <w:rPr>
          <w:rFonts w:ascii="Times New Roman" w:eastAsia="Calibri" w:hAnsi="Times New Roman" w:cs="Times New Roman"/>
        </w:rPr>
        <w:br/>
        <w:t>International Pediatric Association</w:t>
      </w:r>
      <w:r w:rsidRPr="0080295A">
        <w:rPr>
          <w:rFonts w:ascii="Times New Roman" w:eastAsia="Calibri" w:hAnsi="Times New Roman" w:cs="Times New Roman"/>
        </w:rPr>
        <w:br/>
        <w:t>April 2015</w:t>
      </w:r>
    </w:p>
    <w:p w:rsidR="0080295A" w:rsidRPr="0080295A" w:rsidRDefault="0080295A" w:rsidP="0080295A">
      <w:pPr>
        <w:spacing w:after="0" w:line="240" w:lineRule="auto"/>
        <w:jc w:val="both"/>
        <w:rPr>
          <w:rFonts w:ascii="Times New Roman" w:eastAsia="Calibri" w:hAnsi="Times New Roman" w:cs="Times New Roman"/>
        </w:rPr>
      </w:pPr>
      <w:r w:rsidRPr="0080295A">
        <w:rPr>
          <w:rFonts w:ascii="Times New Roman" w:eastAsia="Calibri" w:hAnsi="Times New Roman" w:cs="Times New Roman"/>
        </w:rPr>
        <w:t>Significant impact has been achieved with the Millennium Development Goals but 7,700 newborns less than 28 days old die each day</w:t>
      </w:r>
      <w:r w:rsidRPr="0080295A">
        <w:rPr>
          <w:rFonts w:ascii="Times New Roman" w:eastAsia="Calibri" w:hAnsi="Times New Roman" w:cs="Times New Roman"/>
          <w:vertAlign w:val="superscript"/>
        </w:rPr>
        <w:t>1</w:t>
      </w:r>
      <w:r w:rsidRPr="0080295A">
        <w:rPr>
          <w:rFonts w:ascii="Times New Roman" w:eastAsia="Calibri" w:hAnsi="Times New Roman" w:cs="Times New Roman"/>
        </w:rPr>
        <w:t>. Cost effective programs of assessment and care can prevent 90% of these deaths.  Additionally, 7,300 babies are born stillborn each day. Many of these deaths can be prevented by improved maternal health and assessment/care during childbirth; Effective newborn resuscitation programs reduce the incidence of stillbirth (possibly because some babies currently classified as stillbirth are able to be effectively resuscitated).</w:t>
      </w:r>
    </w:p>
    <w:p w:rsidR="0080295A" w:rsidRPr="0080295A" w:rsidRDefault="0080295A" w:rsidP="0080295A">
      <w:pPr>
        <w:spacing w:after="0" w:line="240" w:lineRule="auto"/>
        <w:jc w:val="both"/>
        <w:rPr>
          <w:rFonts w:ascii="Times New Roman" w:eastAsia="Calibri" w:hAnsi="Times New Roman" w:cs="Times New Roman"/>
        </w:rPr>
      </w:pPr>
    </w:p>
    <w:p w:rsidR="0080295A" w:rsidRPr="0080295A" w:rsidRDefault="0080295A" w:rsidP="0080295A">
      <w:pPr>
        <w:spacing w:after="0" w:line="240" w:lineRule="auto"/>
        <w:jc w:val="both"/>
        <w:rPr>
          <w:rFonts w:ascii="Times New Roman" w:eastAsia="Calibri" w:hAnsi="Times New Roman" w:cs="Times New Roman"/>
        </w:rPr>
      </w:pPr>
      <w:r w:rsidRPr="0080295A">
        <w:rPr>
          <w:rFonts w:ascii="Times New Roman" w:eastAsia="Calibri" w:hAnsi="Times New Roman" w:cs="Times New Roman"/>
        </w:rPr>
        <w:t>The International Pediatric Association (IPA) represents 162 national pediatric societies and pediatric specialty groups.  The IPA strongly supports current plans to address newborn mortality including the Every Newborn Action Plan and Every Woman Every Child.  The following principles must be considered as we move forward to the Sustainable Development Goals.</w:t>
      </w:r>
    </w:p>
    <w:p w:rsidR="0080295A" w:rsidRPr="0080295A" w:rsidRDefault="0080295A" w:rsidP="0080295A">
      <w:pPr>
        <w:spacing w:after="0" w:line="240" w:lineRule="auto"/>
        <w:rPr>
          <w:rFonts w:ascii="Times New Roman" w:eastAsia="Calibri" w:hAnsi="Times New Roman" w:cs="Times New Roman"/>
        </w:rPr>
      </w:pPr>
    </w:p>
    <w:p w:rsidR="0080295A" w:rsidRPr="00214AF4" w:rsidRDefault="0080295A" w:rsidP="001165B6">
      <w:pPr>
        <w:numPr>
          <w:ilvl w:val="0"/>
          <w:numId w:val="3"/>
        </w:numPr>
        <w:spacing w:after="0" w:line="240" w:lineRule="auto"/>
        <w:contextualSpacing/>
        <w:rPr>
          <w:rFonts w:ascii="Times New Roman" w:eastAsia="Calibri" w:hAnsi="Times New Roman" w:cs="Times New Roman"/>
        </w:rPr>
      </w:pPr>
      <w:r w:rsidRPr="00214AF4">
        <w:rPr>
          <w:rFonts w:ascii="Times New Roman" w:eastAsia="Calibri" w:hAnsi="Times New Roman" w:cs="Times New Roman"/>
        </w:rPr>
        <w:t>Each country must have a specific plan to utilize human and financial resources to reduce neonatal deaths</w:t>
      </w:r>
    </w:p>
    <w:p w:rsidR="0080295A" w:rsidRPr="00214AF4" w:rsidRDefault="0080295A" w:rsidP="00DE2587">
      <w:pPr>
        <w:numPr>
          <w:ilvl w:val="0"/>
          <w:numId w:val="3"/>
        </w:numPr>
        <w:spacing w:after="0" w:line="240" w:lineRule="auto"/>
        <w:contextualSpacing/>
        <w:rPr>
          <w:rFonts w:ascii="Times New Roman" w:eastAsia="Calibri" w:hAnsi="Times New Roman" w:cs="Times New Roman"/>
        </w:rPr>
      </w:pPr>
      <w:r w:rsidRPr="00214AF4">
        <w:rPr>
          <w:rFonts w:ascii="Times New Roman" w:eastAsia="Calibri" w:hAnsi="Times New Roman" w:cs="Times New Roman"/>
        </w:rPr>
        <w:t>Improved neonatal outcome is tightly linked to improvements of maternal health.</w:t>
      </w:r>
    </w:p>
    <w:p w:rsidR="0080295A" w:rsidRPr="00214AF4" w:rsidRDefault="0080295A" w:rsidP="00111B45">
      <w:pPr>
        <w:numPr>
          <w:ilvl w:val="0"/>
          <w:numId w:val="3"/>
        </w:numPr>
        <w:spacing w:after="0" w:line="240" w:lineRule="auto"/>
        <w:contextualSpacing/>
        <w:rPr>
          <w:rFonts w:ascii="Times New Roman" w:eastAsia="Calibri" w:hAnsi="Times New Roman" w:cs="Times New Roman"/>
        </w:rPr>
      </w:pPr>
      <w:r w:rsidRPr="00214AF4">
        <w:rPr>
          <w:rFonts w:ascii="Times New Roman" w:eastAsia="Calibri" w:hAnsi="Times New Roman" w:cs="Times New Roman"/>
        </w:rPr>
        <w:t>Equity and access are keys to any effective plan improving health of families, women and their children. Public sector private sector resources and services must be included in any improvement plan.</w:t>
      </w:r>
    </w:p>
    <w:p w:rsidR="0080295A" w:rsidRPr="00214AF4" w:rsidRDefault="0080295A" w:rsidP="00BC088A">
      <w:pPr>
        <w:numPr>
          <w:ilvl w:val="0"/>
          <w:numId w:val="3"/>
        </w:numPr>
        <w:spacing w:after="0" w:line="240" w:lineRule="auto"/>
        <w:contextualSpacing/>
        <w:rPr>
          <w:rFonts w:ascii="Times New Roman" w:eastAsia="Calibri" w:hAnsi="Times New Roman" w:cs="Times New Roman"/>
        </w:rPr>
      </w:pPr>
      <w:r w:rsidRPr="00214AF4">
        <w:rPr>
          <w:rFonts w:ascii="Times New Roman" w:eastAsia="Calibri" w:hAnsi="Times New Roman" w:cs="Times New Roman"/>
        </w:rPr>
        <w:t>Maternal, Newborn and Child Health Programs should recognize the important relationship to other determinants of health, including education, clean water and sanitation, transportation/communication, and improved socioeconomic status.</w:t>
      </w:r>
    </w:p>
    <w:p w:rsidR="0080295A" w:rsidRPr="00214AF4" w:rsidRDefault="0080295A" w:rsidP="00141F9F">
      <w:pPr>
        <w:numPr>
          <w:ilvl w:val="0"/>
          <w:numId w:val="3"/>
        </w:numPr>
        <w:spacing w:after="0" w:line="240" w:lineRule="auto"/>
        <w:contextualSpacing/>
        <w:rPr>
          <w:rFonts w:ascii="Times New Roman" w:eastAsia="Calibri" w:hAnsi="Times New Roman" w:cs="Times New Roman"/>
        </w:rPr>
      </w:pPr>
      <w:r w:rsidRPr="00214AF4">
        <w:rPr>
          <w:rFonts w:ascii="Times New Roman" w:eastAsia="Calibri" w:hAnsi="Times New Roman" w:cs="Times New Roman"/>
        </w:rPr>
        <w:t>An ongoing system of selected indicators for input and outcome should be part of a perinatal program which fosters continuing quality improvement and which addresses sustainability.</w:t>
      </w:r>
    </w:p>
    <w:p w:rsidR="0080295A" w:rsidRPr="0080295A" w:rsidRDefault="0080295A" w:rsidP="00214AF4">
      <w:pPr>
        <w:numPr>
          <w:ilvl w:val="0"/>
          <w:numId w:val="3"/>
        </w:numPr>
        <w:spacing w:after="0" w:line="240" w:lineRule="auto"/>
        <w:contextualSpacing/>
        <w:rPr>
          <w:rFonts w:ascii="Times New Roman" w:eastAsia="Calibri" w:hAnsi="Times New Roman" w:cs="Times New Roman"/>
        </w:rPr>
      </w:pPr>
      <w:r w:rsidRPr="0080295A">
        <w:rPr>
          <w:rFonts w:ascii="Times New Roman" w:eastAsia="Calibri" w:hAnsi="Times New Roman" w:cs="Times New Roman"/>
        </w:rPr>
        <w:t>Pediatricians must contribute to ongoing improvements in outcomes with MCH advocacy, clinical expertise, education, evaluation and planning.</w:t>
      </w:r>
    </w:p>
    <w:p w:rsidR="0080295A" w:rsidRPr="0080295A" w:rsidRDefault="0080295A" w:rsidP="0080295A">
      <w:pPr>
        <w:spacing w:line="360" w:lineRule="auto"/>
        <w:ind w:left="720"/>
        <w:contextualSpacing/>
        <w:rPr>
          <w:rFonts w:ascii="Times New Roman" w:eastAsia="Calibri" w:hAnsi="Times New Roman" w:cs="Times New Roman"/>
        </w:rPr>
      </w:pPr>
    </w:p>
    <w:p w:rsidR="000D2491" w:rsidRPr="0080295A" w:rsidRDefault="000D2491" w:rsidP="0035016F">
      <w:pPr>
        <w:rPr>
          <w:rFonts w:ascii="Times New Roman" w:hAnsi="Times New Roman" w:cs="Times New Roman"/>
          <w:sz w:val="28"/>
          <w:szCs w:val="28"/>
        </w:rPr>
      </w:pPr>
    </w:p>
    <w:sectPr w:rsidR="000D2491" w:rsidRPr="00802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3685"/>
    <w:multiLevelType w:val="hybridMultilevel"/>
    <w:tmpl w:val="B54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4C4D"/>
    <w:multiLevelType w:val="hybridMultilevel"/>
    <w:tmpl w:val="D27A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9348D"/>
    <w:multiLevelType w:val="hybridMultilevel"/>
    <w:tmpl w:val="A3F0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6F"/>
    <w:rsid w:val="000D2491"/>
    <w:rsid w:val="00214AF4"/>
    <w:rsid w:val="00341E12"/>
    <w:rsid w:val="0035016F"/>
    <w:rsid w:val="003666CF"/>
    <w:rsid w:val="005222AF"/>
    <w:rsid w:val="007471B2"/>
    <w:rsid w:val="0080295A"/>
    <w:rsid w:val="00BC34D3"/>
    <w:rsid w:val="00CE209D"/>
    <w:rsid w:val="00E4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1DE97-13A1-4EE8-AC57-2593EEDF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0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22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22A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0295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CE65-3127-4FB7-BEFE-A6E85B24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keenanwj</dc:creator>
  <cp:lastModifiedBy>Slosser, John</cp:lastModifiedBy>
  <cp:revision>5</cp:revision>
  <dcterms:created xsi:type="dcterms:W3CDTF">2015-06-09T15:46:00Z</dcterms:created>
  <dcterms:modified xsi:type="dcterms:W3CDTF">2015-06-09T16:10:00Z</dcterms:modified>
</cp:coreProperties>
</file>